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Условия, при которых не требуется получение разрешения на строительство для выполнения работ по реконструкции и (или) изменению объектов капитального строительства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пункте 17 статьи 51 Градостроительного кодекса Российской Федерации закреплен закрытый перечень случаев, в которых не требуется получение разрешения на строительство (реконструкцию).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Министерством строительства Российской Федерации в письме от 20.12.2024 № 76955-СМ/08 разъяснены условия (признаки), при наличии которых не требуется получение разрешения на реконструкцию объекта капитального строительства.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Получение на реконструкцию не требуется при одновременном соблюдении следующих условий: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изменения не затрагивают конструктивные и иные характеристики их надежности и безопасности, за исключением замены отдельных элементов таких конструкций аналогичными или иными улучшающими показатели элементами и восстановление указанных элементов;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изменения не превышают предельные параметры разрешенного строительства, реконструкции, установленные градостроительным регламентом;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в результате выполнения строительных работ не возникает новый объект капитального строительства.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1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2025-11-21T06:50:34Z</dcterms:modified>
</cp:coreProperties>
</file>